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8" w:rsidRDefault="00FF1138" w:rsidP="00FF1138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FF1138" w:rsidRDefault="00FF1138" w:rsidP="00FF1138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FF1138" w:rsidRDefault="00FF1138" w:rsidP="00FF1138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FF1138" w:rsidRDefault="00FF1138" w:rsidP="00FF1138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FF1138" w:rsidRDefault="00FF1138" w:rsidP="00FF1138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13, 2016</w:t>
      </w:r>
    </w:p>
    <w:p w:rsidR="00FF1138" w:rsidRDefault="00FF1138" w:rsidP="00FF1138">
      <w:pPr>
        <w:pStyle w:val="DefaultText"/>
        <w:jc w:val="center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3.  Roll Call and Approval of the September 13, 2016 Minutes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FF1138" w:rsidRDefault="00FF1138" w:rsidP="00FF1138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and Performance Review for 2016 </w:t>
      </w:r>
      <w:bookmarkStart w:id="0" w:name="_GoBack"/>
      <w:bookmarkEnd w:id="0"/>
      <w:r>
        <w:t xml:space="preserve">     </w:t>
      </w:r>
    </w:p>
    <w:p w:rsidR="00FF1138" w:rsidRDefault="00FF1138" w:rsidP="00FF1138">
      <w:pPr>
        <w:pStyle w:val="DefaultText"/>
      </w:pPr>
      <w:r>
        <w:t xml:space="preserve"> </w:t>
      </w:r>
      <w:r>
        <w:tab/>
        <w:t xml:space="preserve">B.  Stone Harbor Review and Guideline Change Recommendation </w:t>
      </w:r>
    </w:p>
    <w:p w:rsidR="00FF1138" w:rsidRDefault="00FF1138" w:rsidP="00FF1138">
      <w:pPr>
        <w:pStyle w:val="DefaultText"/>
      </w:pPr>
      <w:r>
        <w:tab/>
        <w:t>C.  Private Equity Review and 2017 Planning</w:t>
      </w:r>
    </w:p>
    <w:p w:rsidR="00FF1138" w:rsidRDefault="00FF1138" w:rsidP="00FF1138">
      <w:pPr>
        <w:pStyle w:val="DefaultText"/>
      </w:pPr>
      <w:r>
        <w:tab/>
        <w:t>D.  Other Investment Business</w:t>
      </w:r>
    </w:p>
    <w:p w:rsidR="00FF1138" w:rsidRDefault="00FF1138" w:rsidP="00FF1138">
      <w:pPr>
        <w:pStyle w:val="DefaultText"/>
        <w:rPr>
          <w:b/>
          <w:bCs/>
        </w:rPr>
      </w:pPr>
      <w:r>
        <w:tab/>
      </w: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 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7. Purchase of Prior Service</w:t>
      </w:r>
    </w:p>
    <w:p w:rsidR="00FF1138" w:rsidRDefault="00FF1138" w:rsidP="00FF1138">
      <w:pPr>
        <w:pStyle w:val="DefaultText"/>
        <w:rPr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FF1138" w:rsidRDefault="00FF1138" w:rsidP="00FF1138">
      <w:pPr>
        <w:pStyle w:val="DefaultText"/>
        <w:ind w:left="1080"/>
        <w:rPr>
          <w:bCs/>
        </w:rPr>
      </w:pPr>
    </w:p>
    <w:p w:rsidR="00FF1138" w:rsidRDefault="00FF1138" w:rsidP="00FF1138">
      <w:pPr>
        <w:pStyle w:val="DefaultText"/>
      </w:pPr>
      <w:r>
        <w:rPr>
          <w:b/>
          <w:bCs/>
        </w:rPr>
        <w:t>9.  Requests for Actuarial Transfer of Service</w:t>
      </w:r>
    </w:p>
    <w:p w:rsidR="00FF1138" w:rsidRDefault="00FF1138" w:rsidP="00FF1138">
      <w:pPr>
        <w:pStyle w:val="DefaultText"/>
        <w:ind w:left="720"/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10.  2017 Contract for Actuarial Services with G.S. Curran &amp; Co., LTD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 xml:space="preserve">11.  Audit Engagement Letter with </w:t>
      </w:r>
      <w:proofErr w:type="spellStart"/>
      <w:r>
        <w:rPr>
          <w:b/>
          <w:bCs/>
        </w:rPr>
        <w:t>Duplantier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Hrapmann</w:t>
      </w:r>
      <w:proofErr w:type="spellEnd"/>
      <w:r>
        <w:rPr>
          <w:b/>
          <w:bCs/>
        </w:rPr>
        <w:t>, Hogan and Maher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 xml:space="preserve">12. Board Election Results 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13. Cost of Living Adjustment – Retirement System Staff</w:t>
      </w: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ab/>
        <w:t xml:space="preserve">Executive Session – Personnel Matters 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 xml:space="preserve">14.  Report on 2016 Operating Budget  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 xml:space="preserve">15.  Estimated Operating Budget for 2017    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16.  Board Policy for 2017 Holidays:</w:t>
      </w:r>
    </w:p>
    <w:p w:rsidR="00FF1138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1.  Mardi Gras</w:t>
      </w:r>
      <w:r>
        <w:rPr>
          <w:bCs/>
        </w:rPr>
        <w:tab/>
      </w:r>
      <w:r>
        <w:rPr>
          <w:bCs/>
        </w:rPr>
        <w:tab/>
        <w:t>2/28</w:t>
      </w:r>
      <w:r>
        <w:rPr>
          <w:bCs/>
        </w:rPr>
        <w:tab/>
      </w:r>
      <w:r>
        <w:rPr>
          <w:bCs/>
        </w:rPr>
        <w:tab/>
        <w:t>6.  Columbus Day</w:t>
      </w:r>
      <w:r>
        <w:rPr>
          <w:bCs/>
        </w:rPr>
        <w:tab/>
        <w:t>10/09</w:t>
      </w:r>
    </w:p>
    <w:p w:rsidR="00FF1138" w:rsidRDefault="00FF1138" w:rsidP="00FF1138">
      <w:pPr>
        <w:pStyle w:val="DefaultText"/>
        <w:rPr>
          <w:bCs/>
        </w:rPr>
      </w:pPr>
      <w:r>
        <w:rPr>
          <w:bCs/>
        </w:rPr>
        <w:tab/>
        <w:t>2.  Good Friday</w:t>
      </w:r>
      <w:r>
        <w:rPr>
          <w:bCs/>
        </w:rPr>
        <w:tab/>
        <w:t>4/14</w:t>
      </w:r>
      <w:r>
        <w:rPr>
          <w:bCs/>
        </w:rPr>
        <w:tab/>
      </w:r>
      <w:r>
        <w:rPr>
          <w:bCs/>
        </w:rPr>
        <w:tab/>
        <w:t>7.  Thanksgiving</w:t>
      </w:r>
      <w:r>
        <w:rPr>
          <w:bCs/>
        </w:rPr>
        <w:tab/>
        <w:t>11/23 &amp; 11/24</w:t>
      </w:r>
    </w:p>
    <w:p w:rsidR="00FF1138" w:rsidRDefault="00FF1138" w:rsidP="00FF1138">
      <w:pPr>
        <w:pStyle w:val="DefaultText"/>
        <w:rPr>
          <w:bCs/>
        </w:rPr>
      </w:pPr>
      <w:r>
        <w:rPr>
          <w:bCs/>
        </w:rPr>
        <w:tab/>
        <w:t>3.  Memorial Day</w:t>
      </w:r>
      <w:r>
        <w:rPr>
          <w:bCs/>
        </w:rPr>
        <w:tab/>
        <w:t>5/29</w:t>
      </w:r>
      <w:r>
        <w:rPr>
          <w:bCs/>
        </w:rPr>
        <w:tab/>
      </w:r>
      <w:r>
        <w:rPr>
          <w:bCs/>
        </w:rPr>
        <w:tab/>
        <w:t>8.  Christmas</w:t>
      </w:r>
      <w:r>
        <w:rPr>
          <w:bCs/>
        </w:rPr>
        <w:tab/>
      </w:r>
      <w:r>
        <w:rPr>
          <w:bCs/>
        </w:rPr>
        <w:tab/>
        <w:t>12/25 &amp; 12/26</w:t>
      </w:r>
    </w:p>
    <w:p w:rsidR="00FF1138" w:rsidRDefault="00FF1138" w:rsidP="00FF1138">
      <w:pPr>
        <w:pStyle w:val="DefaultText"/>
        <w:rPr>
          <w:bCs/>
        </w:rPr>
      </w:pPr>
      <w:r>
        <w:rPr>
          <w:bCs/>
        </w:rPr>
        <w:lastRenderedPageBreak/>
        <w:tab/>
        <w:t>4.  Independence Day</w:t>
      </w:r>
      <w:r>
        <w:rPr>
          <w:bCs/>
        </w:rPr>
        <w:tab/>
        <w:t>7/04</w:t>
      </w:r>
      <w:r>
        <w:rPr>
          <w:bCs/>
        </w:rPr>
        <w:tab/>
      </w:r>
      <w:r>
        <w:rPr>
          <w:bCs/>
        </w:rPr>
        <w:tab/>
        <w:t xml:space="preserve">9.  New Year’s </w:t>
      </w:r>
      <w:r>
        <w:rPr>
          <w:bCs/>
        </w:rPr>
        <w:tab/>
        <w:t>1/01 &amp; 1/02</w:t>
      </w:r>
    </w:p>
    <w:p w:rsidR="00FF1138" w:rsidRDefault="00FF1138" w:rsidP="00FF1138">
      <w:pPr>
        <w:pStyle w:val="DefaultText"/>
        <w:rPr>
          <w:bCs/>
        </w:rPr>
      </w:pPr>
      <w:r>
        <w:rPr>
          <w:bCs/>
        </w:rPr>
        <w:tab/>
        <w:t>5.  Labor Day</w:t>
      </w:r>
      <w:r>
        <w:rPr>
          <w:bCs/>
        </w:rPr>
        <w:tab/>
      </w:r>
      <w:r>
        <w:rPr>
          <w:bCs/>
        </w:rPr>
        <w:tab/>
        <w:t>9/04</w:t>
      </w:r>
    </w:p>
    <w:p w:rsidR="00FF1138" w:rsidRPr="00FA4ADE" w:rsidRDefault="00FF1138" w:rsidP="00FF1138">
      <w:pPr>
        <w:pStyle w:val="DefaultText"/>
        <w:rPr>
          <w:b/>
          <w:bCs/>
        </w:rPr>
      </w:pPr>
    </w:p>
    <w:p w:rsidR="00FF1138" w:rsidRDefault="00FF1138" w:rsidP="00FF1138">
      <w:pPr>
        <w:pStyle w:val="DefaultText"/>
        <w:rPr>
          <w:b/>
          <w:bCs/>
        </w:rPr>
      </w:pPr>
      <w:r>
        <w:rPr>
          <w:b/>
          <w:bCs/>
        </w:rPr>
        <w:t>17. Other Business</w:t>
      </w:r>
    </w:p>
    <w:p w:rsidR="00FF1138" w:rsidRDefault="00FF1138" w:rsidP="00FF1138">
      <w:pPr>
        <w:pStyle w:val="DefaultText"/>
      </w:pPr>
      <w:r>
        <w:tab/>
        <w:t xml:space="preserve">A. 2016 Interest Rate on DROP Deposits   </w:t>
      </w:r>
    </w:p>
    <w:p w:rsidR="00FF1138" w:rsidRDefault="00FF1138" w:rsidP="00FF1138">
      <w:pPr>
        <w:pStyle w:val="DefaultText"/>
      </w:pPr>
      <w:r>
        <w:tab/>
        <w:t xml:space="preserve">B.  DROP Annuity Conversion Rate for 2017 </w:t>
      </w:r>
    </w:p>
    <w:p w:rsidR="00FF1138" w:rsidRDefault="00FF1138" w:rsidP="00FF1138">
      <w:pPr>
        <w:pStyle w:val="DefaultText"/>
      </w:pPr>
      <w:r>
        <w:tab/>
        <w:t>C.  Ward Two Marshall – Quarterly Report Delinquency</w:t>
      </w:r>
    </w:p>
    <w:p w:rsidR="00FF1138" w:rsidRDefault="00FF1138" w:rsidP="00FF1138">
      <w:pPr>
        <w:pStyle w:val="DefaultText"/>
      </w:pPr>
      <w:r>
        <w:tab/>
        <w:t>D.  Act 706 Agency Head Disclosure</w:t>
      </w:r>
    </w:p>
    <w:p w:rsidR="00FF1138" w:rsidRDefault="00FF1138" w:rsidP="00FF1138">
      <w:pPr>
        <w:pStyle w:val="DefaultText"/>
      </w:pPr>
      <w:r>
        <w:tab/>
        <w:t>E.  Legislative Update</w:t>
      </w:r>
    </w:p>
    <w:p w:rsidR="00FF1138" w:rsidRDefault="00FF1138" w:rsidP="00FF1138">
      <w:pPr>
        <w:pStyle w:val="DefaultText"/>
      </w:pPr>
      <w:r>
        <w:tab/>
      </w:r>
      <w:r>
        <w:tab/>
        <w:t xml:space="preserve">1.  2017 Regular Legislative Session </w:t>
      </w:r>
    </w:p>
    <w:p w:rsidR="00FF1138" w:rsidRDefault="00FF1138" w:rsidP="00FF1138">
      <w:pPr>
        <w:pStyle w:val="DefaultText"/>
      </w:pPr>
      <w:r>
        <w:tab/>
        <w:t xml:space="preserve">F.  Executive Session – Jefferson Parish </w:t>
      </w:r>
      <w:proofErr w:type="spellStart"/>
      <w:r>
        <w:t>Headstart</w:t>
      </w:r>
      <w:proofErr w:type="spellEnd"/>
      <w:r>
        <w:t xml:space="preserve"> Litigation</w:t>
      </w:r>
    </w:p>
    <w:p w:rsidR="00FF1138" w:rsidRDefault="00FF1138" w:rsidP="00FF1138">
      <w:pPr>
        <w:pStyle w:val="DefaultText"/>
      </w:pPr>
    </w:p>
    <w:p w:rsidR="00FF1138" w:rsidRDefault="00FF1138" w:rsidP="00FF1138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8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004619" w:rsidRDefault="00004619"/>
    <w:sectPr w:rsidR="0000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A2A"/>
    <w:multiLevelType w:val="hybridMultilevel"/>
    <w:tmpl w:val="03427BA0"/>
    <w:lvl w:ilvl="0" w:tplc="1F008DE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6A0D"/>
    <w:multiLevelType w:val="hybridMultilevel"/>
    <w:tmpl w:val="3D9277D0"/>
    <w:lvl w:ilvl="0" w:tplc="F85C8DFA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D5583"/>
    <w:multiLevelType w:val="hybridMultilevel"/>
    <w:tmpl w:val="5E289056"/>
    <w:lvl w:ilvl="0" w:tplc="1F008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8"/>
    <w:rsid w:val="00004619"/>
    <w:rsid w:val="00571F8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F1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F1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2017-01-13T15:46:00Z</dcterms:created>
  <dcterms:modified xsi:type="dcterms:W3CDTF">2017-01-13T15:54:00Z</dcterms:modified>
</cp:coreProperties>
</file>